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1725"/>
        <w:gridCol w:w="806"/>
        <w:gridCol w:w="2268"/>
        <w:gridCol w:w="2410"/>
        <w:gridCol w:w="708"/>
        <w:gridCol w:w="11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序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招聘学校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学历、学位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其他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莆田第二中学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历史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2"/>
                <w:szCs w:val="32"/>
              </w:rPr>
              <w:t>历史学类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硕士研究生及以上学历或教育部公费师范生，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或教育部直属师范大学全日制本科毕业生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莆田第二中学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体育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2"/>
                <w:szCs w:val="32"/>
              </w:rPr>
              <w:t>体育学类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同上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2"/>
                <w:szCs w:val="32"/>
              </w:rPr>
              <w:t>篮球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莆田第二中学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物理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2"/>
                <w:szCs w:val="32"/>
              </w:rPr>
              <w:t>物理学类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同上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莆田第二中学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2"/>
                <w:szCs w:val="32"/>
              </w:rPr>
              <w:t>政治学类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同上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A37D9"/>
    <w:rsid w:val="03C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2019-11-22T04:21:00Z</dcterms:created>
  <dc:creator>秋叶夏花</dc:creator>
  <cp:lastModifiedBy>秋叶夏花</cp:lastModifiedBy>
  <dcterms:modified xsi:type="dcterms:W3CDTF">2019-11-22T04:23:43Z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