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95"/>
        <w:gridCol w:w="900"/>
        <w:gridCol w:w="615"/>
        <w:gridCol w:w="1095"/>
        <w:gridCol w:w="870"/>
        <w:gridCol w:w="645"/>
        <w:gridCol w:w="991"/>
        <w:gridCol w:w="1632"/>
        <w:gridCol w:w="1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附件1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1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方正小标宋简体" w:hAnsi="方正小标宋简体" w:eastAsia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息县2021年城区学校公开选调教师职位表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职位代码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选调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学科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选调</w:t>
            </w:r>
            <w:r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人数</w:t>
            </w:r>
          </w:p>
        </w:tc>
        <w:tc>
          <w:tcPr>
            <w:tcW w:w="3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报名条件及要求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学科选调计划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选择录用学校规则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教师资格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年龄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工作经历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第一学历为全日制中专以上，且具有国家承认的本科以上学历。报考体育、音乐、美术岗位的，第一学历必须为全日制本专业中专（中师）以上。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具有初级中学及以上教师资格证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45周岁以下（1976年7月1日后出生）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全县在编在岗的农村学校教师且在我县农村学校任教3年及以上；在我县服务期满3年经考核合格愿意留任的特岗教师。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县一中5人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县二中1人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县三中5人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思源实验学校4人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龙湖中学4人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依据各职位序列学校设岗数，按考试成绩高低依次选岗。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初中数学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县一中8人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县二中1人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县三中6人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县五中1人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思源实验学校6人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龙湖中学1人</w:t>
            </w: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初中英语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县一中5人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县二中1人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县三中4人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县五中1人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思源实验中学2人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龙湖中学4人</w:t>
            </w: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县一中3人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县二中1人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县三中2人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思源实验学校2人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初中化学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县一中1人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县三中2人</w:t>
            </w: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初中生物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县三中1人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初中道法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县一中2人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县二中1人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县三中2人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思源实验学校2人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龙湖中学1人</w:t>
            </w: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初中历史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县一中2人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县二中1人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县三中1人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思源实验学校2人</w:t>
            </w: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初中地理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县三中1人</w:t>
            </w: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初中体育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县三中2人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思源实验学校1人</w:t>
            </w: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第一学历为全日制中专以上，且具有国家承认的专科以上学历。报考体育、音乐、美术岗位的，第一学历必须为全日制本专业中专（中师）以上。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具有小学及以上教师资格证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45周岁以下（1976年7月1日后出生）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全县在编在岗的农村学校教师且在我县农村学校任教3年及以上；在我县服务期满3年经考核合格愿意留任的特岗教师。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县一小3人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县二小1人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县三小1人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县四小1人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县八小2人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县九小3人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县十小1人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县十一小南校区6人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县十二小8人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县十四小1人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龙湖中学小学部7人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依据各职位序列学校设岗数，按考试成绩高低依次选岗。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县一小3人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县二小1人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县三小1人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县四小1人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县五小1人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县八小2人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县九小3人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县十小1人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县十一小南校区6人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县十二小6人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县十四小1人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龙湖中学小学部6人</w:t>
            </w: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县一小2人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县三小1人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县六小2人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县八小1人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县九小1人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县十小2人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县十二小2人</w:t>
            </w: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县一小2人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县九小1人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县十小1人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县十一小南校区2人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 xml:space="preserve">县十二小1人              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龙湖中学小学部1人</w:t>
            </w: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县九小1人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县十二小1人</w:t>
            </w: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县五小1人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县十一小南校区2人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县十二小1人</w:t>
            </w: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202117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幼儿园教师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穝灿砰" w:hAnsi="穝灿砰" w:eastAsia="穝灿砰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第一学历为全日制中专以上，专业须为幼儿教育或学前教育，且具有国家承认的专科以上学历。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具有幼儿园教师资格证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35周岁以下（1986年7月1日后出生）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全县在编在岗的农村学校教师且在我县农村学校任教3年及以上；在我县服务期满3年经考核合格愿意留任的特岗教师。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息县第一幼儿园2人息县第五幼儿园5人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依据各职位序列学校设岗数，按考试成绩高低依次选岗。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before="0" w:beforeAutospacing="0" w:after="0" w:afterAutospacing="0" w:line="560" w:lineRule="exact"/>
        <w:ind w:right="1081" w:firstLine="627" w:firstLineChars="196"/>
        <w:jc w:val="center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60" w:lineRule="exact"/>
        <w:ind w:right="1081" w:firstLine="627" w:firstLineChars="196"/>
        <w:jc w:val="right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right="1240"/>
        <w:jc w:val="both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right="1240"/>
        <w:jc w:val="both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right="1240"/>
        <w:jc w:val="both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right="1240"/>
        <w:jc w:val="both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right="1240"/>
        <w:jc w:val="both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right="1240"/>
        <w:jc w:val="both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ascii="Times New Roman" w:hAnsi="Times New Roman" w:eastAsia="宋体"/>
        <w:kern w:val="2"/>
        <w:sz w:val="18"/>
        <w:szCs w:val="24"/>
        <w:lang w:val="en-US" w:eastAsia="zh-CN" w:bidi="ar-SA"/>
      </w:rPr>
    </w:pPr>
    <w:r>
      <w:rPr>
        <w:rStyle w:val="6"/>
        <w:rFonts w:ascii="Times New Roman" w:hAnsi="Times New Roman" w:eastAsia="宋体"/>
        <w:kern w:val="2"/>
        <w:sz w:val="18"/>
        <w:szCs w:val="24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outside;mso-position-horizontal-relative:margin;z-index:524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2"/>
                  <w:widowControl/>
                  <w:snapToGrid w:val="0"/>
                  <w:jc w:val="left"/>
                  <w:textAlignment w:val="baseline"/>
                  <w:rPr>
                    <w:rStyle w:val="6"/>
                    <w:rFonts w:ascii="Times New Roman" w:hAnsi="Times New Roman" w:eastAsia="宋体"/>
                    <w:kern w:val="2"/>
                    <w:sz w:val="18"/>
                    <w:szCs w:val="24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Style w:val="6"/>
                    <w:rFonts w:ascii="Times New Roman" w:hAnsi="Times New Roman" w:eastAsia="宋体"/>
                    <w:kern w:val="2"/>
                    <w:sz w:val="21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7EB4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2021-08-15T03:12:35Z</dcterms:created>
  <dc:creator>Administrator.USER-20161120OF</dc:creator>
  <cp:lastModifiedBy>Administrator</cp:lastModifiedBy>
  <dcterms:modified xsi:type="dcterms:W3CDTF">2021-08-15T03:14:46Z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